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128 / 18 vom 26. Januar 2023</w:t>
      </w:r>
    </w:p>
    <w:p>
      <w:r>
        <w:t>BL Gerichte, 2023-01-26, DE</w:t>
      </w:r>
    </w:p>
    <w:p>
      <w:r>
        <w:rPr>
          <w:b/>
        </w:rPr>
        <w:t xml:space="preserve">Quelle: </w:t>
      </w:r>
      <w:r>
        <w:t>https://mcp.opencaselaw.ch/entscheid/bl_gerichte_725 2022 128 _ 18</w:t>
      </w:r>
    </w:p>
    <w:p>
      <w:r>
        <w:t>FR: BL_GERICHTE 725 2022 128 / 18 du 26 janvier 2023</w:t>
      </w:r>
    </w:p>
    <w:p>
      <w:r>
        <w:t>IT: BL_GERICHTE 725 2022 128 / 18 del 26 gennaio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 Mai 2022 ist demnach einzutreten.</w:t>
      </w:r>
    </w:p>
    <w:p>
      <w:r>
        <w:rPr>
          <w:b/>
        </w:rPr>
        <w:t>E. 2</w:t>
      </w:r>
    </w:p>
    <w:p>
      <w:r>
        <w:t>Streitig ist der Leistungsanspruch des Versicherten. Massgebend ist dabei der Sachverhalt, wie er sich bis zum Erlass des angefochtenen Einspracheentscheids vom 30. März 2022 entwickelt hat. Dieser Zeitpunkt bildet rechtsprechungsgemäss die zeitliche Grenze der richterlichen Überprüfungsbefugnis (BGE 129 V 1 E. 1.2). Der Anspruch auf eine Integritätsentschädigung ist mangels Anfechtung in (Teil-)Rechtskraft erwachsen und deshalb nicht Gegenstand des vorliegenden Verfahrens.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 des versicherten Verdiensts.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Unfalls zu mindestens 10 %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(Art. 19 Abs. 1 UVG). Ob eine namhafte Besserung noch möglich ist,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Sinne von Art. 10 Abs. 1 UVG erhoffte Besserung ins Gewicht fallen muss (BGE 134 V 109 E. 4.3). Unbedeutende Verbesserungen genügen nicht. Diese Frage ist prospektiv zu beurteilen (RKUV 2005 Nr. U 557 S. 388, U 244/04 E. 3.1; vgl. auch Urteil des Bundesgerichts vom 26. März 2021, 8C_102/2021, E. 6.1 mit Hinweisen). 3.2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mit der natürlichen Kausalität deckt (BGE 134 V 109 E. 2). Bei banalen Unfällen wie z.B. bei geringfügigem Anschlagen des Kopfs oder Übertreten des Fusses und bei leichten Unfällen wie z.B. einem gewöhnlichen Sturz oder Ausrutschen kann der adäquate Kausalzusammenhang zwischen Unfall und psychischen Gesundheitsstörungen in der Regel ohne weiteres verneint werden. Ohne aufwändige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wäre, zu einer psychischen Fehlentwicklung beispielsweise in Form einer reaktiven Depression zu führen. Es ist eine Erfahrungstatsache, dass bei dieser Gruppe von Unfällen wegen der Geringfügigkeit des Unfallereignisses auch der psychische Bereich nur marginal tangiert wird. Treten entgegen jeder Voraussicht dennoch nennenswerte psychische Störungen auf, so sind diese mit Sicherheit auf unfallfremde Faktoren zurückzuführen wie z.B. die ungünstige konstitutionelle Prädisposition. Unter solchen Umständen ist der Unfall nur eine Schein- oder Gelegenheitsursache für die psychischen Störungen (BGE 115 V 133 E. 6a). 4.1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Am 10. Juni 2021 berichtete der behandelnde Arzt Dr. med. D. , FMH Allgemeine Innere Medizin, dass beim Versicherten wegen der Folgen des Unfalls vom 23. Juli 2018 eine engmaschige Psychotherapie vorgenommen worden sei. Dem Bericht ist zu entnehmen, dass von April 2019 bis Dezember 2019 insgesamt sechzehn Psychotherapiesitzungen durchgeführt wurden. Zudem hielt Dr. D. fest, dass dem Versicherten wegen der Schlafstörungen (zufolge der Ängste, der Panikattacken und der Albträume) und der Schmerzen diverse Medikamente verabreicht würden. 6.3 Im Bericht vom 14. Oktober 2021 hielt der behandelnde Arzt Dr. med. E. , FMH Orthopädische Chirurgie und Traumatologie des Bewegungsapparats, fest, dass er lediglich die somatische Arbeitsfähigkeit beurteilen könne. Dem Versicherten sei die bisherige Tätigkeit auf dem Bau nicht mehr zumutbar. Für angepasste Tätigkeiten (wechselbelastend, überwiegend sitzend, keine Arbeit auf Leitern etc. und ohne starke Belastung) könne nach einer Angewöhnungszeit eine Arbeitsfähigkeit diskutiert werden. 6.4 Am 17. November 2021 berichtete Dr. E. , dass es dem Versicherten ein Jahr nach der Hüft-Transplantation gut gehe. Er habe wieder Kraft und in der Hüfte keine Schmerzen mehr. Lediglich nach schwerer körperlicher Arbeit fühle er eine gewisse Symptomatik im Hüftbereich. Rückenbeschwerden bestünden ebenfalls nicht mehr. Der Versicherte sei in seinem bisherigen Beruf als Bauarbeiter vollständig arbeitsunfähig. 6.5 Der Kreisarzt Dr. med. F. , Facharzt für Chirurgie, hielt am 1. Dezember 2021 fest, dass unter Berücksichtigung des Sprechstundenberichts von Dr. E. vom 17. November 2021 der Endzustand als erreicht postuliert werden könne. Ein Jahr nach Implantation einer Hüft-Totalprothese links habe der Versicherte wieder Kraft und keine Schmerzen in der Hüfte mehr. Von einer Fortsetzung der ärztlichen Behandlung sei mit überwiegender Wahrscheinlichkeit keine namhafte Besserung der Unfallfolgen zu erwarten. Dem Versicherten seien wechselbelastende mittelschwere Tätigkeiten ohne regelmässiges Treppensteigen und ohne regelmässige Arbeiten auf Leitern, Gerüsten oder auf unebenem Grund ganztags zumutbar. Regelmässige Beschäftigungen in Zwangshaltungen (hockend, kauernd, kniend) und Tätigkeiten mit regelmässigen Vibrationen, Schlägen oder Stössen seien zu vermeiden. 7.1. Die Beschwerdegegnerin stützte sich im angefochtenen Einspracheentscheid vom 30. März 2022 bei der Beurteilung des Gesundheitszustands und der Leistungsfähigkeit des Versicherten auf den Bericht des Kreisarztes Dr. F. vom 1. Dezember 2021. Sie ging in der Folge davon aus, dass ein Jahr nach der Hüft-Totalprothese keine namhafte Verbesserung des Gesundheitszustands zu erwarten sei und dem Versicherten angepasste Verweistätigkeiten ganztags zumutbar seien. Diese vorinstanzliche Beweiswürdigung ist nicht zu beanstanden. Wie bereits ausgeführt (vgl. E. 4.2 hiervor), sind an die Beweiswürdigung strenge Anforderungen zu stellen, wenn sich der angefochtene Entscheid ausschliesslich auf versicherungsinterne medizinische Unterlagen stützt. Bereits bei geringen Zweifeln an der Zuverlässigkeit und Schlüssigkeit der ärztlichen Feststellungen sind ergänzende Abklärungen vorzunehmen. Vorliegend ergibt sich indes nichts, was Zweifel an der Stichhaltigkeit der Angaben des Kreisarztes Dr. F. wecken würde. Seine Beurteilung beruht auf einem sorgfältigen Studium der vorhandenen medizinischen Akten und erweist sich sowohl in der Darlegung der medizinischen Zusammenhänge als auch bezüglich der daraus gezogenen Schlussfolgerungen als überzeugend. Insgesamt erfüllt sie die höchstrichterlichen Beweisanforderungen und erbringt vollen Beweis, weshalb darauf abzustellen ist. Demnach war hinsichtlich der Hüftbeschwerden der medizinische Endzustand erreicht. Es ist davon auszugehen, dass dem Beschwerdeführer die Tätigkeit auf dem Bau unfallbedingt nicht mehr möglich ist. Angepasste Verweistätigkeiten sind ihm hingegen ganztags zumutbar. 7.2. Was der Beschwerdeführer dagegen vorbringt, verfängt nicht. Soweit er unter Hinweis auf das frühere Unfallereignis vom 23. Juli 2018 sowie die Berichte der behandelnden Ärzte Dres. D. und E. vom 10. Juni 2021 und 14. Oktober 2021 geltend macht, die Beschwerdegegnerin habe es in Verletzung des Untersuchungsgrundsatzes unterlassen, seinen psychischen Gesundheitszustand abzuklären, kann ihm nicht beigepflichtet werden. Zwar bestätigte Dr. D. , dass wegen der Folgen des früheren Unfalls vom 23. Juli 2018 eine Psychotherapie durchführt und Medikamente abgegeben worden seien. Diese Behandlung wurde aber abgeschlossen und Dr. D. attestierte dem Versicherten hinsichtlich der psychischen Beschwerden des Unfalls vom 23. Juli 2018 ab dem 1. Januar 2020 eine vollständige Arbeitsfähigkeit (vgl. Schreiben von Dr. D. vom 3. Februar 2020, act. 36). Hinweise darauf, dass der Beschwerdeführer in der Folge eine unfallversicherungsrechtlich relevante psychische Erkrankung mit Auswirkung auf die Leistungsfähigkeit aufgewiesen hätte, sind aufgrund der vorliegenden medizinischen Unterlagen nicht ausgewiesen. Zudem handelte es sich beim Ereignis vom 4. Dezember 2019 (Sturz mit dem Fahrrad) um einen leichten Unfall, der nicht geeignet war, einen (invalidisierenden) psychischen Gesundheitsschaden zu verursachen resp. zu einer psychischen Fehlentwicklung beispielsweise in Form einer reaktiven Depression zu führen (vgl. E. 3.2 hiervor). Vor diesem Hintergrund ist nicht mit überwiegender Wahrscheinlichkeit erstellt, dass im Zeitpunkt der Leistungseinstellung per 31. Dezember 2021 relevante psychische Beschwerden bestanden, weshalb die Beschwerdegegnerin – ohne den Untersuchungsgrundsatz zu verletzen – auf weitere Abklärungen verzichten durfte. In somatischer Hinsicht stellte der Beschwerdeführer die Beurteilung des Kreisarztes Dr. F. vom 1. Dezember 2021, wonach ein Jahr nach Implantation der Hüft-Totalprothese nicht mehr mit einer namhaften Verbesserung der Unfallfolgen gerechnet werden konnte und dem Beschwerdeführer angepasste Verweistätigkeiten ganztags zumutbar seien, zu Recht nicht in Frage. Soweit der Beschwerdeführer rügt, die Beschwerdegegnerin hätte die Rentenprüfung erst nach Abschluss der Eingliederungsmassnahmen durch die IV vornehmen dürfen, ist ihm entgegenzuhalten, dass im Zeitpunkt des Fallabschlusses per 31. Dezember 2021 keine IV-Eingliederungsmassnahmen durchgeführt wurden oder in Aussicht waren (vgl. dazu die Aktennotiz vom 18. November 2021, wonach nach Auskunft der Sachbearbeiterin der IV-Stelle keine Kostengutsprache für berufliche Massnahmen erteilt worden sei; act. 165). Gegenteiliges ist aus den Akten nicht ersichtlich. Demnach waren die Voraussetzungen für den Fallabschluss im Sinne von Art. 19 Abs. 1 UVG (vgl. E. 3.1 hiervor) gegeben. 8.1 Zu prüfen bleiben die erwerblichen Auswirkungen der gesundheitlichen Beeinträchtigungen.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8.2.1 Für die Bemessung des Valideneinkommens ist entscheidend, was die versicherte Person im massgebenden Zeitpunkt des frühestmöglichen Rentenbeginns (hier: 1. Januar 2022)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(BGE 134 V 322 E. 4.1; Urteil des Bundesgerichts vom 17. November 2020, 9C_109/2020, E. 2.2.2). Ausnahmen müssen mit überwiegender Wahrscheinlichkeit erstellt sein (BGE 139 V 28 E. 3.3.2 mit Hinweisen). Ist ein konkreter Lohn nicht eruierbar oder hätte die versicherte Person ihre bisherige Stelle auch ohne gesundheitliche Beeinträchtigung verloren, so können die Zahlen der Lohnstrukturerhebung (LSE) des Bundesamts für Statistik (BfS) herangezogen werden (Urteile des Bundesgerichts vom 21. Dezember 2016, 8C_728/2016, E. 3.1 und vom 9. Juni 2015, 9C_212/2015, E. 5.4). 8.2.2. Da das Arbeitsverhältnis bei der B. AG aus invaliditäsfremden Gründen beendet wurde, ermittelte die Suva das Valideneinkommen im angefochtenen Einspracheentscheid aufgrund der Tabellenlöhne (LSE 2018, TA1, Wirtschaftszweige 41-43 [Baugewerbe], Männer, Kompetenzniveau 1) und errechnete für das Jahr 2018 einen an die betriebsübliche wöchentliche Arbeitszeit von 41,7 Wochenstunden angepassten Lohn von Fr. 70'332.-- (Fr. 5'622.-- : 40 x 41,7 x 12). Unter Berücksichtigung der Nominallohnentwicklung bis ins Jahr 2022 resultierte ein massgebendes Jahreseinkommen von Fr. 71'676.05. Dem hält der Beschwerdeführer entgegnen, dass aufgrund seiner langjährigen Berufserfahrung das Kompetenzniveau 2 angewendet werden müsse und das Valideneinkommen demnach Fr. 75'630.75 betrage. 8.2.3 Diesem Ansinnen des Beschwerdeführers kann nicht beigepflichtet werden. Zwar können Versicherte ohne (qualifizierte) Berufsausbildung, aber mit in langjähriger praktischer Tätigkeit erworbenem handwerklichen Geschick grundsätzlich in einem höheren Kompetenzniveau eingestuft werden (Urteile des Bundesgerichts vom 14. Dezember 2011, 9C_800/2011, E. 2.3.2, und vom 13. Dezember 2010, 8C_439/2010, E. 3.3.3). Allerdings hat das Bundesgericht festgehalten, dass eine mehrjährige Berufserfahrung zwar nicht ausser Acht zu lassen sei, heutzutage indessen in den meisten Berufssparten ein Abschluss oder zumindest (formalisierte) Aus- und Weiterbildungen verlangt würden, was wiederum gegen eine höhere Einstufung spreche (Urteile des Bundesgerichts vom 14. Dezember 2011, 9C_800/2011, E. 2.3.2, und vom 23. Juni 2010, 9C_837/2009, E. 3.4). Vorliegend verfügt der Beschwerdeführer weder über einen Berufsabschluss noch über allfällige formale Weiterbildungen oder andere erworbene besondere Qualifikationen. Anzeichen für ein berufliches Fortkommen und eine entsprechende Lohnsteigerung (z.B. eine geplante oder begonnene Weiterbildung oder ein konkretes Stellenangebot im Unfallzeitpunkt) liegen ebenfalls nicht vor. Vielmehr spricht die Tatsache, dass er bei der B. AG lediglich temporär angestellt war, gegen die Annahme einer fortschreitenden beruflichen Etablierung. Vor diesem Hintergrund vermag seine Berufserfahrung die Einstufung in das Kompetenzniveau 2 für sich allein nicht zu rechtfertigen. Dies gilt umso mehr, als der Beschwerdeführer während seiner gesamten beruflichen Laufbahn nie auch nur annähernd ein Einkommen von Fr. 75'630.75 erzielte, wie dem in den Akten liegenden IK-Auszug (vgl. act. 96) zu entnehmen ist. Das im angefochtenen Einspracheentscheid ermittelte Valideneinkommen aufgrund des Kompetenzniveaus 1 von Fr. 71'676.05 ist demnach nicht zu beanstanden.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für die Bemessung des Invalideneinkommen die Tabellenlöhne heranzuziehen (BGE 143 V 295 E. 2.2). Einer erschwerten Verwertbarkeit der trotz des Gesundheitsschadens noch zumutbaren Arbeitsfähigkeit kann dabei allenfalls dadurch Rechnung getragen werden, dass auf einen anderen als auf den durchschnittlichen Lohn in allen Wirtschaftszweigen des privaten Sektors ("Total") abgestellt wird (BGE 129 V 472 E. 4.3.2). Diese Ausnahmeregelung kommt aber nur dann zum Zug, wenn der Verwertbarkeit der verbliebenen Arbeitsfähigkeit derart enge Grenzen gesetzt sind, dass praktisch alle Tätigkeiten eines bestimmten Wirtschaftszweigs ausser Betracht fallen (Urteil des Bundesgerichts vom 19. September 2006, I 295/06, E. 3.2.1). 8.3.2 Unbestritten ist, dass der Beschwerdeführer keiner Erwerbstätigkeit mehr nachgeht, weshalb auch für die Bemessung des Invalideneinkommens auf lohnstatistische Werte der LSE abzustellen ist. Die Beschwerdegegnerin ging innerhalb der TA1 der LSE 2018 vom "Total" der Männerlöhne im Kompetenzniveau 1 und somit von einem Monatslohn von Fr. 5'417.-- aus. Angepasst an die Wochenarbeitszeit von 41,7 Stunden ergibt dies ein Invalideneinkommen von jährlich Fr. 67'766.65 (Fr. 5'417.-- : 40 x 41,7 x 12). Unter Berücksichtigung der Nominallohnentwicklung bis ins Jahr 2022 resultierte ein Jahreseinkommen von Fr. 69'061.50. Der Beschwerdeführer beanstandet dieses Vorgehen. Er vertritt die Auffassung, dass ihm beschwerdebedingt und aus sprachlichen Gründen nicht alle Wirtschaftszweige offenstehen, weshalb für die Ermittlung des Invalideneinkommens die Tabelle TA1, Ziff. 77-82 (sonstige wirtschaftliche Dienstleistungen), Kompetenzniveau 1, Männer (Fr. 4'767.--), massgebend sei. 8.3.3 Unbestritten ist, dass dem Beschwerdeführer schwere Arbeiten nicht mehr zumutbar sind. Nach der massgebenden Beurteilung des Kreisarztes Dr. F. vom 1. Dezember 2021 (E. 6.5 hiervor) sind ihm aber wechselbelastende mittelschwere Tätigkeiten ohne regelmässiges Treppensteigen und ohne regelmässige Arbeiten auf Leitern, Gerüsten oder auf unebenem Grund ganztags zumutbar, wobei regelmässige Beschäftigungen in Zwangshaltungen (hockend, kauernd, kniend) und Tätigkeiten mit regelmässigen Vibrationen, Schlägen oder Stössen zu vermeiden sind. Bei diesem Tätigkeitsprofil kann nicht gesagt werden, die Arbeitsfähigkeit des Beschwerdeführers sei auf den Dienstleistungssektor beschränkt. Zwar ist er angesichts seines gesundheitsbedingt erschwerten Zugangs zum Arbeitsmarkt sowie des eingeschränkten Anforderungsprofils nicht leicht vermittelbar. Dennoch lässt sein Gesundheitszustand resp. seine Leistungsfähigkeit einen grundsätzlichen Einsatz in allen Wirtschaftszweigen zu. Bei dieser Sachlage ist weder ersichtlich noch substantiiert dargetan, weshalb praktisch alle Tätigkeiten eines bestimmten Wirtschaftszweigs ausser Betracht fallen sollten. Es ist daher nicht zu beanstanden, dass die Beschwerdegegnerin das Invalideneinkommen ausgehend vom "Total" des LSE-Tabellenlohns für Männer im privaten Sektor bestimmte und mit Fr. 69'061.50 bezifferte. 8.3.4 Wird das Invalideneinkommen anhand der LSE ermittelt, kann der entsprechende Ausgangswert allenfalls gekürzt werden.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(BGE 135 V 297 E. 5.2, 134 V 322 E. 5.2).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75 E. 6 mit Hinweis; Urteil des Bundesgerichts vom 25. Juli 2005, U 420/04, E. 2.3). 8.3.5 Vorliegend hat die Beschwerdegegnerin im angefochtenen Einspracheentscheid bei der Bemessung des Invalideneinkommens keinen Abzug vom Tabellenlohn vorgenommen. Der Beschwerdeführer ist der Ansicht, dass ein solcher von mindestens 20 % angemessen sei. Dieser Auffassung kann nicht gefolgt werden. Die leidensbedingten Einschränkungen sind mit dem Belastungsprofil bereits berücksichtigt und dürfen gemäss bundesgerichtlicher Rechtsprechung nicht nochmals – als abzugsrelevant – herangezogen werden (BGE 146 V 16 E. 4.1 mit Hinweis). Die Tatsache, dass dem Versicherten nur noch körperlich angepasste Arbeiten zumutbar sind, stellt aber auch bei eingeschränkter Leistungsfähigkeit keinen Grund für einen Abzug dar, weil der Tabellenlohn im Kompetenzniveau 1 bereits eine Vielzahl solcher Tätigkeiten umfasst (Urteile des Bundesgerichts vom 22. März 2017, 8C_805/2016, E. 3.4.2 und vom 16. Juli 2014, 8C_97/2014, E. 4.2). Weiter rechtfertigt der Umstand, dass der Beschwerdeführer nicht mehr im Bauhauptgewerbe tätig sein kann, auch deshalb keinen Leidensabzug, weil die Beschäftigungen, die dem LSEbasierten lnvalideneinkommen zugrunde liegen, weder eine Ausbildung noch Berufserfahrung voraussetzen. Ein Abzug wegen Teilzeitarbeit entfällt, da der Versicherte in einer angepassten Tätigkeit zu 100 % arbeitsfähig ist. Was den Ausländerstatus (Aufenthaltsbewilligung B) anbelangt, ist vorliegend nicht ersichtlich, dass dieser die Möglichkeit des Beschwerdeführers erheblich schmälert, auf dem für ihn in Frage kommenden Arbeitsmarkt mit einem durchschnittlichen Lohn rechnen zu können (vgl. dazu LSE Tabelle TA 12). Nicht gerechtfertigt ist schliesslich ein Abzug aus sprachlichen Gründen, da diesem Umstand wie auch den schulischen und beruflichen Voraussetzungen durch die Wahl des Kompetenzniveaus 1 beim Invalideneinkommen bereits angemessen Rechnung getragen wurde. Ausserdem gibt der Beschwerdeführer in seinem Lebenslauf an, mündlich gute und schriftlich mittelgute Deutschkenntnisse zu haben. Damit kann nicht gesagt werden, er verfüge nur über rudimentäre Kenntnisse der deutschen Sprache. Andere Gründe, die für einen leidensbedingten Abzug sprechen, sind nicht ersichtlich. Folglich ist aufgrund der vorliegenden Sachlage ein leidensbedingter Abzug nicht in Betracht zu ziehen. Insgesamt ist nicht zu beanstanden, dass die Beschwerdegegnerin keinen Abzug vom Tabellenlohn gewährt hat und es besteht – entgegen der Ansicht des Beschwerdeführers – kein Anlass, in ihr Ermessen korrigierend einzugreifen. 8.4 Stellt man im Einkommensvergleich das Invalideneinkommen von Fr. 69'061.50 dem Valideneinkommen von Fr. 71'676.05 gegenüber, so resultiert daraus eine Erwerbseinbusse von Fr. 2'614.55, was einen rentenausschliessenden Invaliditätsgrad von aufgerundet 4 % ergibt (Art. 18 Abs. 1 UVG; zur Rundungspraxis des Bundesgerichts: BGE 130 V 121). Somit hat die Suva einen Anspruch des Versicherten auf eine Rente zu Recht abgelehnt.</w:t>
      </w:r>
    </w:p>
    <w:p>
      <w:r>
        <w:rPr>
          <w:b/>
        </w:rPr>
        <w:t>E. 9</w:t>
      </w:r>
    </w:p>
    <w:p>
      <w:r>
        <w:t>Zusammenfassend ergibt sich, dass der angefochtene Einspracheentscheid vom 30. März 2022 nicht zu beanstanden ist. Die dagegen erhobene Beschwerde erweist sich als unbegründet, weshalb sie abzuweisen ist.</w:t>
      </w:r>
    </w:p>
    <w:p>
      <w:r>
        <w:rPr>
          <w:b/>
        </w:rPr>
        <w:t>E. 10</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bei diesem Ausgang des Verfahrens nicht ausgerichtet. Demgemäss wird e r k a n n 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